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bookmarkStart w:id="0" w:name="_GoBack"/>
      <w:bookmarkEnd w:id="0"/>
      <w:r w:rsidRPr="00681B29">
        <w:rPr>
          <w:rFonts w:ascii="Times New Roman" w:eastAsia="Times New Roman" w:hAnsi="Times New Roman" w:cs="Times New Roman"/>
          <w:color w:val="212121"/>
          <w:sz w:val="21"/>
          <w:szCs w:val="21"/>
          <w:lang w:eastAsia="ru-RU"/>
        </w:rPr>
        <w:t>             СОВЕТ НАРОДНЫХ ДЕПУТАТОВ</w:t>
      </w:r>
      <w:r w:rsidRPr="00681B29">
        <w:rPr>
          <w:rFonts w:ascii="Times New Roman" w:eastAsia="Times New Roman" w:hAnsi="Times New Roman" w:cs="Times New Roman"/>
          <w:color w:val="212121"/>
          <w:sz w:val="21"/>
          <w:szCs w:val="21"/>
          <w:lang w:eastAsia="ru-RU"/>
        </w:rPr>
        <w:br/>
        <w:t>                          МОРОЗОВСКОГО СЕЛЬСКОГО ПОСЕЛЕНИЯ</w:t>
      </w:r>
      <w:r w:rsidRPr="00681B29">
        <w:rPr>
          <w:rFonts w:ascii="Times New Roman" w:eastAsia="Times New Roman" w:hAnsi="Times New Roman" w:cs="Times New Roman"/>
          <w:color w:val="212121"/>
          <w:sz w:val="21"/>
          <w:szCs w:val="21"/>
          <w:lang w:eastAsia="ru-RU"/>
        </w:rPr>
        <w:br/>
        <w:t>ЭРТИЛЬСКОГО МУНИЦИПАЛЬНОГО РАЙОНА</w:t>
      </w:r>
      <w:r w:rsidRPr="00681B29">
        <w:rPr>
          <w:rFonts w:ascii="Times New Roman" w:eastAsia="Times New Roman" w:hAnsi="Times New Roman" w:cs="Times New Roman"/>
          <w:color w:val="212121"/>
          <w:sz w:val="21"/>
          <w:szCs w:val="21"/>
          <w:lang w:eastAsia="ru-RU"/>
        </w:rPr>
        <w:br/>
        <w:t>ВОРОНЕЖСКОЙ ОБЛАСТИ</w:t>
      </w:r>
      <w:r w:rsidRPr="00681B29">
        <w:rPr>
          <w:rFonts w:ascii="Times New Roman" w:eastAsia="Times New Roman" w:hAnsi="Times New Roman" w:cs="Times New Roman"/>
          <w:color w:val="212121"/>
          <w:sz w:val="21"/>
          <w:szCs w:val="21"/>
          <w:lang w:eastAsia="ru-RU"/>
        </w:rPr>
        <w:br/>
        <w:t>  Р Е Ш Е Н И Е</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от   26.11.2015г. № 84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п.Марьевка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Об утверждении положения о пенсиях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w:t>
      </w:r>
    </w:p>
    <w:p w:rsidR="00681B29" w:rsidRPr="00681B29" w:rsidRDefault="00681B29" w:rsidP="00681B29">
      <w:pPr>
        <w:spacing w:after="0" w:line="240" w:lineRule="auto"/>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
      </w:tblGrid>
      <w:tr w:rsidR="00681B29" w:rsidRPr="00681B29" w:rsidTr="00681B2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1B29" w:rsidRPr="00681B29" w:rsidRDefault="00681B29" w:rsidP="00681B29">
            <w:pPr>
              <w:spacing w:after="0" w:line="240" w:lineRule="auto"/>
              <w:rPr>
                <w:rFonts w:ascii="Times New Roman" w:eastAsia="Times New Roman" w:hAnsi="Times New Roman" w:cs="Times New Roman"/>
                <w:sz w:val="24"/>
                <w:szCs w:val="24"/>
                <w:lang w:eastAsia="ru-RU"/>
              </w:rPr>
            </w:pPr>
          </w:p>
        </w:tc>
      </w:tr>
    </w:tbl>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В соответствии с  Федеральным законом от 02.03.2007 N 25-ФЗ "О муниципальной службе в Российской Федерации", Федеральным </w:t>
      </w:r>
      <w:hyperlink r:id="rId4" w:tooltip="Федеральный закон от 17.12.2001 N 173-ФЗ (ред. от 03.12.2012) &quot;О трудовых пенсиях в Российской Федерации&quot;{КонсультантПлюс}"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от 28.12.2013 N 400-ФЗ "О страховых пенсиях», </w:t>
      </w:r>
      <w:hyperlink r:id="rId5"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Воронежской области от 28.12.2007 N 175-ОЗ "О муниципальной службе в Воронежской области", Уставом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Совет народных депутатов Р Е Ш И Л:</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                Утвердить Положение о пенсиях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согласно приложению.</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2.                 Определить уполномоченным органом, осуществляющим назначение пенсии за выслугу лет администрацию Морозовского сельского поселения  Эртильского муниципального района.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                Определить уполномоченным органом, осуществляющим выплату пенсии за выслугу лет  администрацию Морозовского сельского поселения  Эртильского муниципального района.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                 Администрации Морозовского сельского поселения  Эртильского муниципального района Воронежской области ежегодно предусматривать при формировании бюджета Морозовского сельского поселения Эртильского муниципального района  на соответствующий финансовый год и плановый период расходы на выплату пенсий за выслугу лет в соответствии с настоящим решением.</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5.                 Признать утратившим силу решение Совета народных депутатов Эртильского муниципального района от  26.11.2008г. №21 «Об утверждении положения  о пенсиях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6.                 Решение вступает в силу со дня его официального опубликования.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7.                 Контроль за исполнением настоящего решения оставляю за собой.</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Глава сельского поселения                                           С.Б.Суворова.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Приложение к </w:t>
      </w:r>
      <w:hyperlink r:id="rId6" w:anchor="sub_0" w:history="1">
        <w:r w:rsidRPr="00681B29">
          <w:rPr>
            <w:rFonts w:ascii="Times New Roman" w:eastAsia="Times New Roman" w:hAnsi="Times New Roman" w:cs="Times New Roman"/>
            <w:color w:val="009688"/>
            <w:sz w:val="21"/>
            <w:szCs w:val="21"/>
            <w:u w:val="single"/>
            <w:lang w:eastAsia="ru-RU"/>
          </w:rPr>
          <w:t>решению</w:t>
        </w:r>
      </w:hyperlink>
      <w:r w:rsidRPr="00681B29">
        <w:rPr>
          <w:rFonts w:ascii="Times New Roman" w:eastAsia="Times New Roman" w:hAnsi="Times New Roman" w:cs="Times New Roman"/>
          <w:color w:val="212121"/>
          <w:sz w:val="21"/>
          <w:szCs w:val="21"/>
          <w:lang w:eastAsia="ru-RU"/>
        </w:rPr>
        <w:t> Совета народных депутатов Морозовского сельского поселения Эртильского муниципального района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от  26.11.2015г.  № 84</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Положение о пенсиях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 Общие положения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1.1. Настоящее Положение о пенсиях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(далее - Положение) регламентирует в соответствии с Законом Воронежской области от 28.12.2007 №175-ОЗ «О муниципальной службе в Воронежской области», Федеральным законом от 28.12.2013 №400-ФЗ «О страховых пенсиях» основания, порядок назначения, выплаты, индексации и перерасчета, приостановления 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1.2. В Положении используются следующие основные понятия: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пенсия за выслугу лет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в целях компенсации им заработка, утраченного в связи с прекращением муниципальной службы при достижении установленной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от 19.04.1991 №1032-1 «О занятости населения в Российской Федерации»;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лица, имеющие право на пенсию за выслугу лет – лица, замещавшие должности муниципальной службы в органах местного самоуправления (аппарате избирательной комиссии) Морозовского сельского поселения Эртильского муниципального района Воронежской области в соответствии с Законом Воронежской области «О муниципальной службе в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стаж муниципальной службы - суммарная продолжительность периодов осуществления муниципальной службы и иной деятельности, учитываемая при определении права на пенсию за выслугу лет и при исчислении размера этой пенсии;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 среднемесячный заработок - денежное содержание, установленное в соответствии с Законом Воронежской области «О муниципальной службе в Воронежской области», и иные выплаты, которые учитываются при исчислении размера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2. Финансирование пенсий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Финансирование пенсий за выслугу лет производится за счет средств бюджета Морозовского сельского поселения Эртильского муниципального района Воронежской области в соответствии с нормативным правовым актом Совета народных депутатов о бюджете Морозовского сельского поселения Эртильского муниципального района Воронежской области на соответствующий финансовый год.</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 Условия назначения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 Пенсия за выслугу лет назначается лицам, замещавшим должности муниципальной службы в органах местного самоуправления (аппарате Избирательной комиссии) Морозовского сельского поселения Эртильского муниципального района Воронежской области, при условии наличия стажа муниципальной службы не менее 15 лет и освобождения от замещаемой должности не ранее 24 апреля 1996 года при увольнении с муниципальной службы по одному из следующих оснований:</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3.1.1. Соглашение сторон трудового договора.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3.1.2. Истечение срока трудового договора.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3.1.3. Расторжение трудового договора по инициативе муниципального служащего.</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3.1.4. Сокращение численности или штата  работников органа местного самоуправления (аппарата Избирательной комиссии)Морозовского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3.1.5. Отказ муниципального служащего от продолжения работы в связи с изменением определенных сторонами условий трудового договора.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3.1.7.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3.1.8. Восстановление на работе муниципального служащего, ранее выполнявшего эту работу, по решению государственной инспекции труда или суда.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 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3.1.11. Наличие заболевания, препятствующего прохождению муниципальной службы и подтвержденного заключением медицинской организации.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3.1.12. Признание муниципального служащего:</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недееспособным или ограниченно дееспособным решением суда, вступившим в законную силу;</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3.1.13. Достижение муниципальным служащим предельного возраста, установленного для замещения должности муниципальной службы;</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3.1.14. Упразднение органа местного самоуправления.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3.2. Лица, уволенные с муниципальной службы по основаниям, предусмотренным </w:t>
      </w:r>
      <w:hyperlink r:id="rId7" w:anchor="Par61" w:tooltip="Ссылка на текущий документ" w:history="1">
        <w:r w:rsidRPr="00681B29">
          <w:rPr>
            <w:rFonts w:ascii="Times New Roman" w:eastAsia="Times New Roman" w:hAnsi="Times New Roman" w:cs="Times New Roman"/>
            <w:color w:val="009688"/>
            <w:sz w:val="21"/>
            <w:szCs w:val="21"/>
            <w:u w:val="single"/>
            <w:lang w:eastAsia="ru-RU"/>
          </w:rPr>
          <w:t>подпунктами 3.1.1</w:t>
        </w:r>
      </w:hyperlink>
      <w:r w:rsidRPr="00681B29">
        <w:rPr>
          <w:rFonts w:ascii="Times New Roman" w:eastAsia="Times New Roman" w:hAnsi="Times New Roman" w:cs="Times New Roman"/>
          <w:color w:val="212121"/>
          <w:sz w:val="21"/>
          <w:szCs w:val="21"/>
          <w:lang w:eastAsia="ru-RU"/>
        </w:rPr>
        <w:t>, </w:t>
      </w:r>
      <w:hyperlink r:id="rId8" w:anchor="Par62" w:tooltip="Ссылка на текущий документ" w:history="1">
        <w:r w:rsidRPr="00681B29">
          <w:rPr>
            <w:rFonts w:ascii="Times New Roman" w:eastAsia="Times New Roman" w:hAnsi="Times New Roman" w:cs="Times New Roman"/>
            <w:color w:val="009688"/>
            <w:sz w:val="21"/>
            <w:szCs w:val="21"/>
            <w:u w:val="single"/>
            <w:lang w:eastAsia="ru-RU"/>
          </w:rPr>
          <w:t>3.1.2</w:t>
        </w:r>
      </w:hyperlink>
      <w:r w:rsidRPr="00681B29">
        <w:rPr>
          <w:rFonts w:ascii="Times New Roman" w:eastAsia="Times New Roman" w:hAnsi="Times New Roman" w:cs="Times New Roman"/>
          <w:color w:val="212121"/>
          <w:sz w:val="21"/>
          <w:szCs w:val="21"/>
          <w:lang w:eastAsia="ru-RU"/>
        </w:rPr>
        <w:t> (за исключением случаев истечения срока действия срочного трудового договора муниципального служащего, 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w:t>
      </w:r>
      <w:hyperlink r:id="rId9" w:anchor="Par65" w:tooltip="Ссылка на текущий документ" w:history="1">
        <w:r w:rsidRPr="00681B29">
          <w:rPr>
            <w:rFonts w:ascii="Times New Roman" w:eastAsia="Times New Roman" w:hAnsi="Times New Roman" w:cs="Times New Roman"/>
            <w:color w:val="009688"/>
            <w:sz w:val="21"/>
            <w:szCs w:val="21"/>
            <w:u w:val="single"/>
            <w:lang w:eastAsia="ru-RU"/>
          </w:rPr>
          <w:t>3.1.3</w:t>
        </w:r>
      </w:hyperlink>
      <w:r w:rsidRPr="00681B29">
        <w:rPr>
          <w:rFonts w:ascii="Times New Roman" w:eastAsia="Times New Roman" w:hAnsi="Times New Roman" w:cs="Times New Roman"/>
          <w:color w:val="212121"/>
          <w:sz w:val="21"/>
          <w:szCs w:val="21"/>
          <w:lang w:eastAsia="ru-RU"/>
        </w:rPr>
        <w:t>, </w:t>
      </w:r>
      <w:hyperlink r:id="rId10" w:anchor="Par69" w:tooltip="Ссылка на текущий документ" w:history="1">
        <w:r w:rsidRPr="00681B29">
          <w:rPr>
            <w:rFonts w:ascii="Times New Roman" w:eastAsia="Times New Roman" w:hAnsi="Times New Roman" w:cs="Times New Roman"/>
            <w:color w:val="009688"/>
            <w:sz w:val="21"/>
            <w:szCs w:val="21"/>
            <w:u w:val="single"/>
            <w:lang w:eastAsia="ru-RU"/>
          </w:rPr>
          <w:t>3.1.5</w:t>
        </w:r>
      </w:hyperlink>
      <w:r w:rsidRPr="00681B29">
        <w:rPr>
          <w:rFonts w:ascii="Times New Roman" w:eastAsia="Times New Roman" w:hAnsi="Times New Roman" w:cs="Times New Roman"/>
          <w:color w:val="212121"/>
          <w:sz w:val="21"/>
          <w:szCs w:val="21"/>
          <w:lang w:eastAsia="ru-RU"/>
        </w:rPr>
        <w:t>, </w:t>
      </w:r>
      <w:hyperlink r:id="rId11" w:anchor="Par75" w:tooltip="Ссылка на текущий документ" w:history="1">
        <w:r w:rsidRPr="00681B29">
          <w:rPr>
            <w:rFonts w:ascii="Times New Roman" w:eastAsia="Times New Roman" w:hAnsi="Times New Roman" w:cs="Times New Roman"/>
            <w:color w:val="009688"/>
            <w:sz w:val="21"/>
            <w:szCs w:val="21"/>
            <w:u w:val="single"/>
            <w:lang w:eastAsia="ru-RU"/>
          </w:rPr>
          <w:t>3.1.7</w:t>
        </w:r>
      </w:hyperlink>
      <w:r w:rsidRPr="00681B29">
        <w:rPr>
          <w:rFonts w:ascii="Times New Roman" w:eastAsia="Times New Roman" w:hAnsi="Times New Roman" w:cs="Times New Roman"/>
          <w:color w:val="212121"/>
          <w:sz w:val="21"/>
          <w:szCs w:val="21"/>
          <w:lang w:eastAsia="ru-RU"/>
        </w:rPr>
        <w:t>, </w:t>
      </w:r>
      <w:hyperlink r:id="rId12" w:anchor="Par95" w:tooltip="Ссылка на текущий документ" w:history="1">
        <w:r w:rsidRPr="00681B29">
          <w:rPr>
            <w:rFonts w:ascii="Times New Roman" w:eastAsia="Times New Roman" w:hAnsi="Times New Roman" w:cs="Times New Roman"/>
            <w:color w:val="009688"/>
            <w:sz w:val="21"/>
            <w:szCs w:val="21"/>
            <w:u w:val="single"/>
            <w:lang w:eastAsia="ru-RU"/>
          </w:rPr>
          <w:t>3.1.13 пункта 3.1</w:t>
        </w:r>
      </w:hyperlink>
      <w:r w:rsidRPr="00681B29">
        <w:rPr>
          <w:rFonts w:ascii="Times New Roman" w:eastAsia="Times New Roman" w:hAnsi="Times New Roman" w:cs="Times New Roman"/>
          <w:color w:val="212121"/>
          <w:sz w:val="21"/>
          <w:szCs w:val="21"/>
          <w:lang w:eastAsia="ru-RU"/>
        </w:rPr>
        <w:t> Положения,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3.3. Лица, уволенные с муниципальной службы по основаниям, предусмотренным </w:t>
      </w:r>
      <w:hyperlink r:id="rId13" w:anchor="Par66" w:tooltip="Ссылка на текущий документ" w:history="1">
        <w:r w:rsidRPr="00681B29">
          <w:rPr>
            <w:rFonts w:ascii="Times New Roman" w:eastAsia="Times New Roman" w:hAnsi="Times New Roman" w:cs="Times New Roman"/>
            <w:color w:val="009688"/>
            <w:sz w:val="21"/>
            <w:szCs w:val="21"/>
            <w:u w:val="single"/>
            <w:lang w:eastAsia="ru-RU"/>
          </w:rPr>
          <w:t>подпунктами 3.1.2. (в случае истечения срока действия срочного трудового договора муниципального служащего, непосредственно обеспечивающего исполнение полномочий лица, замещающего муниципальную должность, в связи с истечением установленного срока полномочий вышеуказанного лица), 3.1.4</w:t>
        </w:r>
      </w:hyperlink>
      <w:r w:rsidRPr="00681B29">
        <w:rPr>
          <w:rFonts w:ascii="Times New Roman" w:eastAsia="Times New Roman" w:hAnsi="Times New Roman" w:cs="Times New Roman"/>
          <w:color w:val="212121"/>
          <w:sz w:val="21"/>
          <w:szCs w:val="21"/>
          <w:lang w:eastAsia="ru-RU"/>
        </w:rPr>
        <w:t>, </w:t>
      </w:r>
      <w:hyperlink r:id="rId14" w:anchor="Par72" w:tooltip="Ссылка на текущий документ" w:history="1">
        <w:r w:rsidRPr="00681B29">
          <w:rPr>
            <w:rFonts w:ascii="Times New Roman" w:eastAsia="Times New Roman" w:hAnsi="Times New Roman" w:cs="Times New Roman"/>
            <w:color w:val="009688"/>
            <w:sz w:val="21"/>
            <w:szCs w:val="21"/>
            <w:u w:val="single"/>
            <w:lang w:eastAsia="ru-RU"/>
          </w:rPr>
          <w:t>3.1.6</w:t>
        </w:r>
      </w:hyperlink>
      <w:r w:rsidRPr="00681B29">
        <w:rPr>
          <w:rFonts w:ascii="Times New Roman" w:eastAsia="Times New Roman" w:hAnsi="Times New Roman" w:cs="Times New Roman"/>
          <w:color w:val="212121"/>
          <w:sz w:val="21"/>
          <w:szCs w:val="21"/>
          <w:lang w:eastAsia="ru-RU"/>
        </w:rPr>
        <w:t>, </w:t>
      </w:r>
      <w:hyperlink r:id="rId15" w:anchor="Par78" w:tooltip="Ссылка на текущий документ" w:history="1">
        <w:r w:rsidRPr="00681B29">
          <w:rPr>
            <w:rFonts w:ascii="Times New Roman" w:eastAsia="Times New Roman" w:hAnsi="Times New Roman" w:cs="Times New Roman"/>
            <w:color w:val="009688"/>
            <w:sz w:val="21"/>
            <w:szCs w:val="21"/>
            <w:u w:val="single"/>
            <w:lang w:eastAsia="ru-RU"/>
          </w:rPr>
          <w:t>3.1.8</w:t>
        </w:r>
      </w:hyperlink>
      <w:r w:rsidRPr="00681B29">
        <w:rPr>
          <w:rFonts w:ascii="Times New Roman" w:eastAsia="Times New Roman" w:hAnsi="Times New Roman" w:cs="Times New Roman"/>
          <w:color w:val="212121"/>
          <w:sz w:val="21"/>
          <w:szCs w:val="21"/>
          <w:lang w:eastAsia="ru-RU"/>
        </w:rPr>
        <w:t> - </w:t>
      </w:r>
      <w:hyperlink r:id="rId16" w:anchor="Par90" w:tooltip="Ссылка на текущий документ" w:history="1">
        <w:r w:rsidRPr="00681B29">
          <w:rPr>
            <w:rFonts w:ascii="Times New Roman" w:eastAsia="Times New Roman" w:hAnsi="Times New Roman" w:cs="Times New Roman"/>
            <w:color w:val="009688"/>
            <w:sz w:val="21"/>
            <w:szCs w:val="21"/>
            <w:u w:val="single"/>
            <w:lang w:eastAsia="ru-RU"/>
          </w:rPr>
          <w:t>3.1.12, 3.1.14 пункта 3.1</w:t>
        </w:r>
      </w:hyperlink>
      <w:r w:rsidRPr="00681B29">
        <w:rPr>
          <w:rFonts w:ascii="Times New Roman" w:eastAsia="Times New Roman" w:hAnsi="Times New Roman" w:cs="Times New Roman"/>
          <w:color w:val="212121"/>
          <w:sz w:val="21"/>
          <w:szCs w:val="21"/>
          <w:lang w:eastAsia="ru-RU"/>
        </w:rPr>
        <w:t>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3.4. Пенсия за выслугу лет устанавливается к страховой пенсии по старости (инвалидности), назначенной в соответствии с Федеральным </w:t>
      </w:r>
      <w:hyperlink r:id="rId17" w:tooltip="Федеральный закон от 17.12.2001 N 173-ФЗ (ред. от 03.12.2012) &quot;О трудовых пенсиях в Российской Федерации&quot;{КонсультантПлюс}"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3.5. 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 Средний заработок, из которого исчисляется размер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8" w:tooltip="Федеральный закон от 17.12.2001 N 173-ФЗ (ред. от 03.12.2012) &quot;О трудовых пенсиях в Российской Федерации&quot;{КонсультантПлюс}"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"О страховых пенсиях» (дававшего право на трудовую пенсию в соответствии с Федеральным </w:t>
      </w:r>
      <w:hyperlink r:id="rId19"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"О трудовых пенсиях в Российской Федерации") (далее - расчетный период).</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4.3. Для определения среднего заработка учитываются следующие выплаты:</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а) должностной оклад;</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б) ежемесячные надбавки к должностному окладу:</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за классный чин;</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за особые условия муниципальной службы;</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за выслугу лет на муниципальной службе;</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ежемесячная надбавка к должностному окладу гражданам, допущенным к государственной тайне на постоянной основе, устанавливаемая </w:t>
      </w:r>
      <w:hyperlink r:id="rId20"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Воронежской области в размерах и в порядке, определяемых федеральным законодательством;</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за почетное звание РФ;</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за ученую степень.</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в) ежемесячное денежное поощрение в размере, установленном </w:t>
      </w:r>
      <w:hyperlink r:id="rId21" w:anchor="Par119" w:tooltip="Ссылка на текущий документ" w:history="1">
        <w:r w:rsidRPr="00681B29">
          <w:rPr>
            <w:rFonts w:ascii="Times New Roman" w:eastAsia="Times New Roman" w:hAnsi="Times New Roman" w:cs="Times New Roman"/>
            <w:color w:val="009688"/>
            <w:sz w:val="21"/>
            <w:szCs w:val="21"/>
            <w:u w:val="single"/>
            <w:lang w:eastAsia="ru-RU"/>
          </w:rPr>
          <w:t>пунктом 4.6</w:t>
        </w:r>
      </w:hyperlink>
      <w:r w:rsidRPr="00681B29">
        <w:rPr>
          <w:rFonts w:ascii="Times New Roman" w:eastAsia="Times New Roman" w:hAnsi="Times New Roman" w:cs="Times New Roman"/>
          <w:color w:val="212121"/>
          <w:sz w:val="21"/>
          <w:szCs w:val="21"/>
          <w:lang w:eastAsia="ru-RU"/>
        </w:rPr>
        <w:t> Положения;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г) денежное поощрение по итогам работы за квартал, фактически начисленное в расчетном периоде;</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4.4. 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(кроме единовременных).</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 трех должностных окладов.</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4.7. При исчислении среднего заработка из расчетного периода исключаются: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период временной нетрудоспособности;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время нахождения в отпусках без сохранения денежного содержания, по беременности и родам, по уходу за ребенком до достижения им установленного законом возраста;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время исполнения в соответствии с законодательством Российской Федерации должностных обязанностей с сохранением среднего заработка.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В случае если расчетный период состоит из временных периодов, указанных в пункте 4.7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а) с учетом положений раздела 4 Положения исходя из суммы денежного содержания и других выплат, начисленной за предшествующий период, равный расчетному;</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б) с применением положения пункта 4.8 Положения исходя из фактически установленного ему денежного содержания в расчетном периоде.</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4.10. При замещении муниципальным служащим в расчетном периоде должностей муниципальной службы в различных органах местного самоуправления Морозовского сельского поселения Эртильского муниципального района Воронежской области, Избирательной комиссии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Морозовском сельском поселении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4.11. 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Морозовском сельском поселении  Эртильского муниципального района Воронежской области, 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5. Размер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5.1. Лицам, замещавшим должности муниципальной службы в Морозовском сельском поселении Эртильского муниципального района Воронежской области, назначается пенсия за выслугу лет при наличии стажа муниципальной службы не менее 15 лет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2"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«О страховых пенсиях».</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За каждый полный год стажа муниципальной службы сверх 15 лет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5.2. Размер пенсии за выслугу лет исчисляется исходя из 0,8 среднего заработка, определяемого в соответствии с разделом 4 Положения, с учетом продолжительности стажа муниципальной службы.</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5.3.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3"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«О трудовых пенсиях в Российской Федерации», размер доли страховой пенсии, установленной и исчисленной в соответствии с Федеральным </w:t>
      </w:r>
      <w:hyperlink r:id="rId24" w:history="1">
        <w:r w:rsidRPr="00681B29">
          <w:rPr>
            <w:rFonts w:ascii="Times New Roman" w:eastAsia="Times New Roman" w:hAnsi="Times New Roman" w:cs="Times New Roman"/>
            <w:color w:val="009688"/>
            <w:sz w:val="21"/>
            <w:szCs w:val="21"/>
            <w:u w:val="single"/>
            <w:lang w:eastAsia="ru-RU"/>
          </w:rPr>
          <w:t>законом</w:t>
        </w:r>
      </w:hyperlink>
      <w:r w:rsidRPr="00681B29">
        <w:rPr>
          <w:rFonts w:ascii="Times New Roman" w:eastAsia="Times New Roman" w:hAnsi="Times New Roman" w:cs="Times New Roman"/>
          <w:color w:val="212121"/>
          <w:sz w:val="21"/>
          <w:szCs w:val="21"/>
          <w:lang w:eastAsia="ru-RU"/>
        </w:rPr>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5.4. Размер пенсии за выслугу лет не может быть ниже размера фиксированной выплаты к страховой пенсии, предусмотренной </w:t>
      </w:r>
      <w:hyperlink r:id="rId25" w:history="1">
        <w:r w:rsidRPr="00681B29">
          <w:rPr>
            <w:rFonts w:ascii="Times New Roman" w:eastAsia="Times New Roman" w:hAnsi="Times New Roman" w:cs="Times New Roman"/>
            <w:color w:val="009688"/>
            <w:sz w:val="21"/>
            <w:szCs w:val="21"/>
            <w:u w:val="single"/>
            <w:lang w:eastAsia="ru-RU"/>
          </w:rPr>
          <w:t>частью 1 статьи 16</w:t>
        </w:r>
      </w:hyperlink>
      <w:r w:rsidRPr="00681B29">
        <w:rPr>
          <w:rFonts w:ascii="Times New Roman" w:eastAsia="Times New Roman" w:hAnsi="Times New Roman" w:cs="Times New Roman"/>
          <w:color w:val="212121"/>
          <w:sz w:val="21"/>
          <w:szCs w:val="21"/>
          <w:lang w:eastAsia="ru-RU"/>
        </w:rPr>
        <w:t> Федерального закона «О страховых пенсиях».</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6. Стаж для назначения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Стаж муниципальной службы для назначения пенсии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устанавливается в соответствии с федеральным и областным законодательством.</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7.     Назначение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Установление пенсии за выслугу лет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8. Срок назначения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6" w:history="1">
        <w:r w:rsidRPr="00681B29">
          <w:rPr>
            <w:rFonts w:ascii="Times New Roman" w:eastAsia="Times New Roman" w:hAnsi="Times New Roman" w:cs="Times New Roman"/>
            <w:color w:val="009688"/>
            <w:sz w:val="21"/>
            <w:szCs w:val="21"/>
            <w:u w:val="single"/>
            <w:lang w:eastAsia="ru-RU"/>
          </w:rPr>
          <w:t>статьей 32</w:t>
        </w:r>
      </w:hyperlink>
      <w:r w:rsidRPr="00681B29">
        <w:rPr>
          <w:rFonts w:ascii="Times New Roman" w:eastAsia="Times New Roman" w:hAnsi="Times New Roman" w:cs="Times New Roman"/>
          <w:color w:val="212121"/>
          <w:sz w:val="21"/>
          <w:szCs w:val="21"/>
          <w:lang w:eastAsia="ru-RU"/>
        </w:rPr>
        <w:t> Закона Российской Федерации «О занятости населения в Российской Федерации», на срок установления указанной пенсии.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9. Порядок индексации и перерасчета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9.1. Пенсия за выслугу лет индексируется при централизованном повышении денежного содержания муниципальных служащих органов местного самоуправления Морозовского сельского поселения Эртильского муниципального района Воронежской области. Пенсия за выслугу лет индексируется: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9.2.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9.3.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Морозовском сельском поселении Эртильского муниципального района Воронежской области, утверждаются нормативным правовым актом администрации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9.4. Уполномоченный орган, осуществляя выплату пенсии за выслугу лет, производит перерасчет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при индексации пенсии за выслугу лет в случаях, предусмотренных </w:t>
      </w:r>
      <w:hyperlink r:id="rId27" w:anchor="Par156" w:tooltip="Ссылка на текущий документ" w:history="1">
        <w:r w:rsidRPr="00681B29">
          <w:rPr>
            <w:rFonts w:ascii="Times New Roman" w:eastAsia="Times New Roman" w:hAnsi="Times New Roman" w:cs="Times New Roman"/>
            <w:color w:val="009688"/>
            <w:sz w:val="21"/>
            <w:szCs w:val="21"/>
            <w:u w:val="single"/>
            <w:lang w:eastAsia="ru-RU"/>
          </w:rPr>
          <w:t>пунктом 9.1</w:t>
        </w:r>
      </w:hyperlink>
      <w:r w:rsidRPr="00681B29">
        <w:rPr>
          <w:rFonts w:ascii="Times New Roman" w:eastAsia="Times New Roman" w:hAnsi="Times New Roman" w:cs="Times New Roman"/>
          <w:color w:val="212121"/>
          <w:sz w:val="21"/>
          <w:szCs w:val="21"/>
          <w:lang w:eastAsia="ru-RU"/>
        </w:rPr>
        <w:t> Положения;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(Избирательной комиссии) Морозовского сельского поселения Эртильского муниципального района Воронежской области не менее 12 полных месяцев с более высоким должностным окладом.</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9.5. Порядок индексации и перерасчета пенсий за выслугу лет определяется нормативным правовым актом администрации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10. Порядок выплаты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Выплата пенсии за выслугу лет производится администрацией Морозовского сельского поселения  Эртильского муниципального района Воронежской области в порядке, предусмотренном нормативным правовым актом администрации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11. Приостановление и возобновление выплаты пенсии за выслугу лет.</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11.1. 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11.2. Лицо, получающее пенсию за выслугу лет и назначенное на одну из указанных в </w:t>
      </w:r>
      <w:hyperlink r:id="rId28" w:anchor="Par174" w:tooltip="Ссылка на текущий документ" w:history="1">
        <w:r w:rsidRPr="00681B29">
          <w:rPr>
            <w:rFonts w:ascii="Times New Roman" w:eastAsia="Times New Roman" w:hAnsi="Times New Roman" w:cs="Times New Roman"/>
            <w:color w:val="009688"/>
            <w:sz w:val="21"/>
            <w:szCs w:val="21"/>
            <w:u w:val="single"/>
            <w:lang w:eastAsia="ru-RU"/>
          </w:rPr>
          <w:t>пункте 11.1</w:t>
        </w:r>
      </w:hyperlink>
      <w:r w:rsidRPr="00681B29">
        <w:rPr>
          <w:rFonts w:ascii="Times New Roman" w:eastAsia="Times New Roman" w:hAnsi="Times New Roman" w:cs="Times New Roman"/>
          <w:color w:val="212121"/>
          <w:sz w:val="21"/>
          <w:szCs w:val="21"/>
          <w:lang w:eastAsia="ru-RU"/>
        </w:rPr>
        <w:t> Положения должностей, обязано в 5-дневный срок сообщить об этом в письменной форме в администрацию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11.4.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11.5. Порядок приостановления и возобновления выплаты пенсии за выслугу лет определяется нормативным правовым актом администрации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12. Прекращение и восстановление выплаты пенсии за выслугу лет</w:t>
      </w:r>
    </w:p>
    <w:p w:rsidR="00681B29" w:rsidRPr="00681B29" w:rsidRDefault="00681B29" w:rsidP="00681B29">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12.1.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12.2. Лицо, которому назначены указанные выплаты, в 5-дневный срок сообщает об этом в администрацию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lastRenderedPageBreak/>
        <w:t>12.3. Выплата пенсии за выслугу лет восстанавливается при изменении обстоятельств, препятствующих выплате данной пенсии.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12.4. 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w:t>
      </w:r>
      <w:hyperlink r:id="rId29" w:history="1">
        <w:r w:rsidRPr="00681B29">
          <w:rPr>
            <w:rFonts w:ascii="Times New Roman" w:eastAsia="Times New Roman" w:hAnsi="Times New Roman" w:cs="Times New Roman"/>
            <w:color w:val="009688"/>
            <w:sz w:val="21"/>
            <w:szCs w:val="21"/>
            <w:u w:val="single"/>
            <w:lang w:eastAsia="ru-RU"/>
          </w:rPr>
          <w:t>статьей 32</w:t>
        </w:r>
      </w:hyperlink>
      <w:r w:rsidRPr="00681B29">
        <w:rPr>
          <w:rFonts w:ascii="Times New Roman" w:eastAsia="Times New Roman" w:hAnsi="Times New Roman" w:cs="Times New Roman"/>
          <w:color w:val="212121"/>
          <w:sz w:val="21"/>
          <w:szCs w:val="21"/>
          <w:lang w:eastAsia="ru-RU"/>
        </w:rPr>
        <w:t> Закона Российской Федерации «О занятости населения в Российской Федерации», при установлении страховой пенсии по старости уполномоченным органом, осуществляющим выплату пенсии за выслугу лет, производится восстановление пенсии за выслугу лет со дня установления страховой пенсии по старости.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5 Положения с учетом размера установленной страховой пенсии по старости.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По желанию указанных граждан пенсия за выслугу лет им может быть установлена заново в порядке, предусмотренном Положением.</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12.5. В случае смерти лица, получавшего пенсию за выслугу лет, ее выплата прекращается администрацией Морозовского сельского поселения Эртильского муниципального района Воронежской области с первого числа месяца, следующего за тем, в котором наступила смерть этого лица.</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12.6. Порядок прекращения и восстановления выплаты пенсии за выслугу лет определяется нормативным правовым актом Морозовского сельского поселения Эртильского муниципального района Воронежской области.</w:t>
      </w:r>
    </w:p>
    <w:p w:rsidR="00681B29" w:rsidRPr="00681B29" w:rsidRDefault="00681B29" w:rsidP="00681B29">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B29">
        <w:rPr>
          <w:rFonts w:ascii="Times New Roman" w:eastAsia="Times New Roman" w:hAnsi="Times New Roman" w:cs="Times New Roman"/>
          <w:color w:val="212121"/>
          <w:sz w:val="21"/>
          <w:szCs w:val="21"/>
          <w:lang w:eastAsia="ru-RU"/>
        </w:rPr>
        <w:t> </w:t>
      </w:r>
    </w:p>
    <w:p w:rsidR="00D068A2" w:rsidRDefault="00D068A2"/>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D6"/>
    <w:rsid w:val="00177439"/>
    <w:rsid w:val="00681B29"/>
    <w:rsid w:val="00D068A2"/>
    <w:rsid w:val="00EC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65EE8-C104-4968-B491-6C623F2E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B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3"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8" Type="http://schemas.openxmlformats.org/officeDocument/2006/relationships/hyperlink" Target="consultantplus://offline/ref=86B02481AF47ED546B31F27EED959CD62A8F9FA3911D35A04FF96E93C6g5T9E" TargetMode="External"/><Relationship Id="rId26" Type="http://schemas.openxmlformats.org/officeDocument/2006/relationships/hyperlink" Target="consultantplus://offline/ref=677918770DBD9B51B4104229BC3F3E5331DDD2ECB427EA61AF18E4269B785A0AB4819856DAA92716WCIBL" TargetMode="External"/><Relationship Id="rId3" Type="http://schemas.openxmlformats.org/officeDocument/2006/relationships/webSettings" Target="webSettings.xml"/><Relationship Id="rId21"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7"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2"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7" Type="http://schemas.openxmlformats.org/officeDocument/2006/relationships/hyperlink" Target="consultantplus://offline/ref=86B02481AF47ED546B31F27EED959CD62A8F9FA3911D35A04FF96E93C6g5T9E" TargetMode="External"/><Relationship Id="rId25" Type="http://schemas.openxmlformats.org/officeDocument/2006/relationships/hyperlink" Target="consultantplus://offline/ref=4F0447DE4FECBA7CB2CD841F89216750A67FB70F696927A0BAAD3404B7E1DE2E8446048736F93633c7uDI" TargetMode="External"/><Relationship Id="rId2" Type="http://schemas.openxmlformats.org/officeDocument/2006/relationships/settings" Target="settings.xml"/><Relationship Id="rId16"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20" Type="http://schemas.openxmlformats.org/officeDocument/2006/relationships/hyperlink" Target="consultantplus://offline/ref=86B9BFEA0F987E785BE726B4CCF456230116268A9E3A4B61A622E2679C9794E0B4A582D32B1B0E3EC6DDFFG4CFH" TargetMode="External"/><Relationship Id="rId29" Type="http://schemas.openxmlformats.org/officeDocument/2006/relationships/hyperlink" Target="consultantplus://offline/ref=677918770DBD9B51B4104229BC3F3E5331DDD2ECB427EA61AF18E4269B785A0AB4819856DAA92716WCIBL" TargetMode="External"/><Relationship Id="rId1" Type="http://schemas.openxmlformats.org/officeDocument/2006/relationships/styles" Target="styles.xml"/><Relationship Id="rId6"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1"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24" Type="http://schemas.openxmlformats.org/officeDocument/2006/relationships/hyperlink" Target="consultantplus://offline/ref=1CEFF6598EAE6E57D76CBD5E31172FEC7D44E00DF52F504AA18D4C3104z2b0I" TargetMode="External"/><Relationship Id="rId5" Type="http://schemas.openxmlformats.org/officeDocument/2006/relationships/hyperlink" Target="consultantplus://offline/ref=86B02481AF47ED546B31EC73FBF9C3D32A87C9A8961639F110A635CE9150358B8B094675EB2DA948F87C5Fg4TEE" TargetMode="External"/><Relationship Id="rId15"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23" Type="http://schemas.openxmlformats.org/officeDocument/2006/relationships/hyperlink" Target="consultantplus://offline/ref=1CEFF6598EAE6E57D76CBD5E31172FEC7D44E001F62B504AA18D4C3104z2b0I" TargetMode="External"/><Relationship Id="rId28"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0"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9" Type="http://schemas.openxmlformats.org/officeDocument/2006/relationships/hyperlink" Target="consultantplus://offline/ref=543BD92102D4A4B4F6619758DE0B6D970BAE8F0B6E18E268A49D5DC7D0F1X1I" TargetMode="External"/><Relationship Id="rId31" Type="http://schemas.openxmlformats.org/officeDocument/2006/relationships/theme" Target="theme/theme1.xml"/><Relationship Id="rId4" Type="http://schemas.openxmlformats.org/officeDocument/2006/relationships/hyperlink" Target="consultantplus://offline/ref=86B02481AF47ED546B31F27EED959CD62A8F9FA3911D35A04FF96E93C6g5T9E" TargetMode="External"/><Relationship Id="rId9"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14"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22" Type="http://schemas.openxmlformats.org/officeDocument/2006/relationships/hyperlink" Target="consultantplus://offline/ref=CC1DC1E7D5CCDB1345A0123401326C3B64F289CA66C075315FBFE6D2D6z0FFL" TargetMode="External"/><Relationship Id="rId27" Type="http://schemas.openxmlformats.org/officeDocument/2006/relationships/hyperlink" Target="file:///\\lacie-cloudbox\Family\_%D1%81%D0%BE%D0%BF%D1%80%D0%BE%D0%B2%D0%BE%D0%B6%D0%B4%D0%B5%D0%BD%D0%B8%D0%B5\_%D0%9E%D0%B1%D0%BD%D0%BE%D0%B2%D0%BB%D0%B5%D0%BD%D0%B8%D1%8F%20(10.12)\%D0%B2%D0%BE%D1%80%D0%BE%D0%BD%D0%B5%D0%B6%20%D1%8D%D1%80%D1%82%D0%B8%D0%BB%D1%8C%20%D0%BC%D0%BE%D1%80%D0%BE%D0%B7%D0%BE%D0%B2%D1%81%D0%BA(%D1%81%D1%82%D0%B0%D0%B6%D0%B5%D1%80)\%D0%A0%D0%B5%D1%88%D0%B5%D0%BD%D0%B8%D1%8F%20%D0%BD%D0%BE%D1%8F%D0%B1%D1%80%D1%8C%202015%D0%B3\84.11.2015%D0%B3.%20%D0%BE%D0%B1%20%D1%83%D1%82%D0%B2%D0%B5%D1%80%D0%B6%D0%B4%D0%B5%D0%BD%D0%B8%D0%B8%20%D0%BF%D0%BE%D0%BB%D0%BE%D0%B6%D0%B5%D0%BD%D0%B8%D1%8F%20%D0%BE%20%D0%BF%D0%B5%D0%BD%D1%81%D0%B8%D1%8F%D1%85%20%D0%BB%D0%B8%D1%86%D0%B0%D0%BC,%20%D0%B7%D0%B0%D0%BC%D0%B5%D1%89%D0%B0%D0%B2%D1%88%D0%B8%D0%BC%20%D0%B4%D0%BE%D0%BB%D0%B6%D0%BD%D0%BE%D1%81%D1%82%D0%B8%20%D0%BC%D1%83%D0%BD%D0%B8%D1%86%D0%B8%D0%BF%D0%B0%D0%BB%D1%8C%D0%BD%D0%BE%D0%B9%20%D1%81%D0%BB%D1%83%D0%B6%D0%B1%D1%8B...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6482</Words>
  <Characters>36949</Characters>
  <Application>Microsoft Office Word</Application>
  <DocSecurity>0</DocSecurity>
  <Lines>307</Lines>
  <Paragraphs>86</Paragraphs>
  <ScaleCrop>false</ScaleCrop>
  <Company/>
  <LinksUpToDate>false</LinksUpToDate>
  <CharactersWithSpaces>43345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2024-04-16T13:15:00Z</dcterms:created>
  <dcterms:modified xsi:type="dcterms:W3CDTF">2024-04-16T13:15:00Z</dcterms:modified>
</cp:coreProperties>
</file>