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613858" w:rsidRPr="00AE5785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4111"/>
        <w:gridCol w:w="10206"/>
      </w:tblGrid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DE14E1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 xml:space="preserve">Администрация </w:t>
            </w:r>
            <w:r w:rsidR="00DE14E1">
              <w:rPr>
                <w:rFonts w:ascii="Times New Roman" w:hAnsi="Times New Roman" w:cs="Times New Roman"/>
              </w:rPr>
              <w:t>Морозовского сельского  поселения Эртильского муниципального района Воронежской области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0206" w:type="dxa"/>
          </w:tcPr>
          <w:p w:rsidR="00613858" w:rsidRPr="00AE5785" w:rsidRDefault="00DE14E1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Пост.</w:t>
            </w:r>
            <w:r w:rsidR="00700266">
              <w:rPr>
                <w:rFonts w:ascii="Times New Roman" w:hAnsi="Times New Roman" w:cs="Times New Roman"/>
              </w:rPr>
              <w:t>№53 от 25.12.2015г.(в редакции №№31 от04.04.2016г.№</w:t>
            </w:r>
            <w:r w:rsidR="00F8768A">
              <w:rPr>
                <w:rFonts w:ascii="Times New Roman" w:hAnsi="Times New Roman" w:cs="Times New Roman"/>
              </w:rPr>
              <w:t xml:space="preserve"> 81 от 17.10.2016г.)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ка), выдается: в целях проведения инженерных изысканий либо капитального или текущего ремонта л</w:t>
            </w:r>
            <w:r w:rsidRPr="00AE5785">
              <w:rPr>
                <w:rFonts w:ascii="Times New Roman" w:hAnsi="Times New Roman" w:cs="Times New Roman"/>
              </w:rPr>
              <w:t>и</w:t>
            </w:r>
            <w:r w:rsidRPr="00AE5785">
              <w:rPr>
                <w:rFonts w:ascii="Times New Roman" w:hAnsi="Times New Roman" w:cs="Times New Roman"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го или местного значения на срок их строительства, реконструкции; в целях осуществления геологич</w:t>
            </w:r>
            <w:r w:rsidRPr="00AE5785">
              <w:rPr>
                <w:rFonts w:ascii="Times New Roman" w:hAnsi="Times New Roman" w:cs="Times New Roman"/>
              </w:rPr>
              <w:t>е</w:t>
            </w:r>
            <w:r w:rsidRPr="00AE5785">
              <w:rPr>
                <w:rFonts w:ascii="Times New Roman" w:hAnsi="Times New Roman" w:cs="Times New Roman"/>
              </w:rPr>
              <w:t>ского изучения недр на срок действия соответствующей лицензии.</w:t>
            </w:r>
          </w:p>
          <w:p w:rsidR="00477137" w:rsidRPr="00AE5785" w:rsidRDefault="00477137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</w:t>
            </w:r>
            <w:r w:rsidRPr="00AE5785">
              <w:rPr>
                <w:rFonts w:ascii="Times New Roman" w:hAnsi="Times New Roman" w:cs="Times New Roman"/>
              </w:rPr>
              <w:t>е</w:t>
            </w:r>
            <w:r w:rsidRPr="00AE5785">
              <w:rPr>
                <w:rFonts w:ascii="Times New Roman" w:hAnsi="Times New Roman" w:cs="Times New Roman"/>
              </w:rPr>
              <w:t>ствляться на землях или земельныхучастках, находящихся в государственной или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 xml:space="preserve">венности, без предоставления земельных участков и установления сервитутов» (далее – Объекты) на срок </w:t>
            </w:r>
            <w:r w:rsidRPr="00AE5785">
              <w:rPr>
                <w:rFonts w:ascii="Times New Roman" w:hAnsi="Times New Roman" w:cs="Times New Roman"/>
              </w:rPr>
              <w:lastRenderedPageBreak/>
              <w:t>не более одного календарного года.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13858" w:rsidRPr="00AE5785" w:rsidRDefault="00613858" w:rsidP="00FB775B">
      <w:pPr>
        <w:spacing w:line="240" w:lineRule="auto"/>
        <w:rPr>
          <w:rFonts w:ascii="Times New Roman" w:hAnsi="Times New Roman"/>
          <w:b/>
        </w:rPr>
        <w:sectPr w:rsidR="00613858" w:rsidRPr="00AE5785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5785" w:rsidRDefault="00477137" w:rsidP="0047713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AE5785" w:rsidRDefault="00DA74E8" w:rsidP="008C4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прио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щения за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лучением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чения резул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тата «поду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луги»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даче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явления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ства (ме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ту нахо</w:t>
            </w:r>
            <w:r w:rsidRPr="00AE5785">
              <w:rPr>
                <w:rFonts w:ascii="Times New Roman" w:hAnsi="Times New Roman"/>
                <w:b/>
              </w:rPr>
              <w:t>ж</w:t>
            </w:r>
            <w:r w:rsidRPr="00AE5785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276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че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не по месту жительс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 xml:space="preserve">ва </w:t>
            </w:r>
          </w:p>
          <w:p w:rsidR="00DA74E8" w:rsidRPr="00AE5785" w:rsidRDefault="00225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</w:t>
            </w:r>
            <w:r w:rsidR="00DA74E8" w:rsidRPr="00AE5785">
              <w:rPr>
                <w:rFonts w:ascii="Times New Roman" w:hAnsi="Times New Roman"/>
                <w:b/>
              </w:rPr>
              <w:t>е</w:t>
            </w:r>
            <w:r w:rsidR="00DA74E8" w:rsidRPr="00AE57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чие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зиты норм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тивного прав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вого а</w:t>
            </w:r>
            <w:r w:rsidRPr="00AE5785">
              <w:rPr>
                <w:rFonts w:ascii="Times New Roman" w:hAnsi="Times New Roman"/>
                <w:b/>
              </w:rPr>
              <w:t>к</w:t>
            </w:r>
            <w:r w:rsidRPr="00AE5785">
              <w:rPr>
                <w:rFonts w:ascii="Times New Roman" w:hAnsi="Times New Roman"/>
                <w:b/>
              </w:rPr>
              <w:t>та, 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ляющ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гося 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нован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ем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пошл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="00E65A70" w:rsidRPr="00AE5785">
              <w:rPr>
                <w:rFonts w:ascii="Times New Roman" w:hAnsi="Times New Roman"/>
                <w:b/>
              </w:rPr>
              <w:t>в</w:t>
            </w:r>
            <w:r w:rsidR="00E65A70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E65A70" w:rsidRPr="00AE5785">
              <w:rPr>
                <w:rFonts w:ascii="Times New Roman" w:hAnsi="Times New Roman"/>
                <w:b/>
              </w:rPr>
              <w:t>е</w:t>
            </w:r>
            <w:r w:rsidR="00E65A70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</w:t>
            </w:r>
            <w:r w:rsidRPr="00AE5785">
              <w:rPr>
                <w:rFonts w:ascii="Times New Roman" w:hAnsi="Times New Roman"/>
              </w:rPr>
              <w:lastRenderedPageBreak/>
              <w:t>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сударственной или муниципальной собс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lastRenderedPageBreak/>
              <w:t>венности, утвержде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постановлением Правительства Ро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lastRenderedPageBreak/>
              <w:t>правления с 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E65A70" w:rsidRPr="00AE5785">
              <w:rPr>
                <w:rFonts w:ascii="Times New Roman" w:hAnsi="Times New Roman"/>
                <w:b/>
              </w:rPr>
              <w:t>у</w:t>
            </w:r>
            <w:r w:rsidR="00E65A70" w:rsidRPr="00AE5785">
              <w:rPr>
                <w:rFonts w:ascii="Times New Roman" w:hAnsi="Times New Roman"/>
                <w:b/>
              </w:rPr>
              <w:t>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</w:t>
            </w:r>
            <w:r w:rsidRPr="00AE5785">
              <w:rPr>
                <w:rFonts w:ascii="Times New Roman" w:hAnsi="Times New Roman"/>
              </w:rPr>
              <w:lastRenderedPageBreak/>
              <w:t>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lastRenderedPageBreak/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гому физическому или юридическому лицу 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гающий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услугпо организации общес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венного питания не соблюдены условия, </w:t>
            </w:r>
            <w:r w:rsidRPr="00AE5785">
              <w:rPr>
                <w:rFonts w:ascii="Times New Roman" w:hAnsi="Times New Roman"/>
              </w:rPr>
              <w:lastRenderedPageBreak/>
              <w:t>предусмотренные в п. п. 2.2, 2.3 раздела 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1111.</w:t>
            </w:r>
          </w:p>
        </w:tc>
        <w:tc>
          <w:tcPr>
            <w:tcW w:w="1134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lastRenderedPageBreak/>
              <w:t>правления с 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</w:tbl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E5785" w:rsidRDefault="002257CC" w:rsidP="002257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</w:t>
            </w:r>
            <w:r w:rsidRPr="00AE5785">
              <w:rPr>
                <w:rFonts w:ascii="Times New Roman" w:hAnsi="Times New Roman"/>
                <w:b/>
              </w:rPr>
              <w:t>ю</w:t>
            </w:r>
            <w:r w:rsidRPr="00AE5785">
              <w:rPr>
                <w:rFonts w:ascii="Times New Roman" w:hAnsi="Times New Roman"/>
                <w:b/>
              </w:rPr>
              <w:t>щих право на получ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ждающий правом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чие заявителя соо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ветствующей кат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на предоста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ление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 представ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телями за</w:t>
            </w:r>
            <w:r w:rsidRPr="00AE5785">
              <w:rPr>
                <w:rFonts w:ascii="Times New Roman" w:hAnsi="Times New Roman"/>
                <w:b/>
              </w:rPr>
              <w:t>я</w:t>
            </w:r>
            <w:r w:rsidRPr="00AE57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вание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кумента,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ждающего право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от имени за</w:t>
            </w:r>
            <w:r w:rsidRPr="00AE5785">
              <w:rPr>
                <w:rFonts w:ascii="Times New Roman" w:hAnsi="Times New Roman"/>
                <w:b/>
              </w:rPr>
              <w:t>я</w:t>
            </w:r>
            <w:r w:rsidRPr="00AE57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менту,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Pr="005179A4">
              <w:rPr>
                <w:rFonts w:ascii="Times New Roman" w:hAnsi="Times New Roman"/>
                <w:b/>
              </w:rPr>
              <w:t>у</w:t>
            </w:r>
            <w:r w:rsidRPr="005179A4">
              <w:rPr>
                <w:rFonts w:ascii="Times New Roman" w:hAnsi="Times New Roman"/>
                <w:b/>
              </w:rPr>
              <w:t>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 xml:space="preserve">тавлением услуги. Не должен содержать подчисток, приписок, </w:t>
            </w:r>
            <w:r w:rsidRPr="00AE5785"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 xml:space="preserve">лением услуги. Не должен содержать </w:t>
            </w:r>
            <w:r w:rsidRPr="00AE5785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дейс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вительным на срок обращения за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97AD1" w:rsidRPr="00AE5785" w:rsidRDefault="00D97AD1" w:rsidP="00D97AD1">
      <w:pPr>
        <w:rPr>
          <w:rFonts w:ascii="Times New Roman" w:hAnsi="Times New Roman"/>
        </w:rPr>
      </w:pPr>
    </w:p>
    <w:p w:rsidR="00DD19AE" w:rsidRPr="00AE5785" w:rsidRDefault="00D97AD1" w:rsidP="00D97AD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тов, которые предста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ляет заявитель для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AE5785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тавления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1. Наименование «подуслуги» 1: </w:t>
            </w:r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="00B87ACE" w:rsidRPr="00AE5785">
              <w:rPr>
                <w:rFonts w:ascii="Times New Roman" w:hAnsi="Times New Roman"/>
                <w:b/>
              </w:rPr>
              <w:t>в</w:t>
            </w:r>
            <w:r w:rsidR="00B87ACE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B87ACE" w:rsidRPr="00AE5785">
              <w:rPr>
                <w:rFonts w:ascii="Times New Roman" w:hAnsi="Times New Roman"/>
                <w:b/>
              </w:rPr>
              <w:t>е</w:t>
            </w:r>
            <w:r w:rsidR="00B87ACE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вителя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 xml:space="preserve">ждающего его полномочия, - в случае, если заявление </w:t>
            </w:r>
            <w:r w:rsidRPr="00AE5785">
              <w:rPr>
                <w:rFonts w:ascii="Times New Roman" w:hAnsi="Times New Roman"/>
              </w:rPr>
              <w:lastRenderedPageBreak/>
              <w:t>подается представителем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пользовать земли 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мости).</w:t>
            </w:r>
          </w:p>
        </w:tc>
        <w:tc>
          <w:tcPr>
            <w:tcW w:w="2835" w:type="dxa"/>
          </w:tcPr>
          <w:p w:rsidR="00233369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Копии документов, прил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гаемых к заявлению,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ны быть заверены в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новленном законодател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ством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порядке, кроме случ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ев, когда заявитель лично представляет  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рацию или </w:t>
            </w:r>
            <w:r w:rsidR="00AE5785">
              <w:rPr>
                <w:rFonts w:ascii="Times New Roman" w:hAnsi="Times New Roman"/>
              </w:rPr>
              <w:t>МФЦ</w:t>
            </w:r>
            <w:r w:rsidRPr="00AE5785">
              <w:rPr>
                <w:rFonts w:ascii="Times New Roman" w:hAnsi="Times New Roman"/>
              </w:rPr>
              <w:t xml:space="preserve">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ствующий документ в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2. </w:t>
            </w:r>
            <w:r w:rsidR="00233369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</w:t>
            </w:r>
            <w:r w:rsidR="00233369" w:rsidRPr="00AE5785">
              <w:rPr>
                <w:rFonts w:ascii="Times New Roman" w:hAnsi="Times New Roman"/>
                <w:b/>
              </w:rPr>
              <w:t>т</w:t>
            </w:r>
            <w:r w:rsidR="00233369" w:rsidRPr="00AE5785">
              <w:rPr>
                <w:rFonts w:ascii="Times New Roman" w:hAnsi="Times New Roman"/>
                <w:b/>
              </w:rPr>
              <w:t>венной или муниципальной собственности, без предоставления земельных участков и установления сервитутов» на срок не более одного календа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lastRenderedPageBreak/>
              <w:t>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 w:rsidRPr="00AE5785">
              <w:rPr>
                <w:rFonts w:ascii="Times New Roman" w:hAnsi="Times New Roman"/>
              </w:rPr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щего его полномочия,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в соответствии с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становлением Правител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ства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заявителем указанных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ментов не являе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AE57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BD0FB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DE14E1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Pr="005179A4">
              <w:rPr>
                <w:rFonts w:ascii="Times New Roman" w:hAnsi="Times New Roman"/>
                <w:b/>
              </w:rPr>
              <w:t>у</w:t>
            </w:r>
            <w:r w:rsidRPr="005179A4">
              <w:rPr>
                <w:rFonts w:ascii="Times New Roman" w:hAnsi="Times New Roman"/>
                <w:b/>
              </w:rPr>
              <w:t>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  <w:r w:rsidR="00A52955" w:rsidRPr="00AE5785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ке, кадастровая 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 xml:space="preserve">писка о земельном участке, либо в случае, </w:t>
            </w:r>
            <w:r w:rsidRPr="00AE5785">
              <w:rPr>
                <w:rFonts w:ascii="Times New Roman" w:hAnsi="Times New Roman"/>
              </w:rPr>
              <w:lastRenderedPageBreak/>
              <w:t>если не осуществлен государственный кад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стровый учет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участка, кадас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ровая карта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вующей территории с обозначением план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руемых границ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Росреестра»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ре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стра прав на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мое имущество и сд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земельный участок (в случае, если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 на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участке).</w:t>
            </w:r>
          </w:p>
        </w:tc>
        <w:tc>
          <w:tcPr>
            <w:tcW w:w="1560" w:type="dxa"/>
          </w:tcPr>
          <w:p w:rsidR="004D4B46" w:rsidRPr="00AE5785" w:rsidRDefault="00981FC1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981FC1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DE14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DE14E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981FC1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Морозовского сельского поселения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государс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DE14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мент/документы, являющиеся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ту/документам,  я</w:t>
            </w:r>
            <w:r w:rsidRPr="00D30C2E">
              <w:rPr>
                <w:rFonts w:ascii="Times New Roman" w:hAnsi="Times New Roman"/>
                <w:b/>
              </w:rPr>
              <w:t>в</w:t>
            </w:r>
            <w:r w:rsidRPr="00D30C2E">
              <w:rPr>
                <w:rFonts w:ascii="Times New Roman" w:hAnsi="Times New Roman"/>
                <w:b/>
              </w:rPr>
              <w:t>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ложител</w:t>
            </w:r>
            <w:r w:rsidRPr="00D30C2E">
              <w:rPr>
                <w:rFonts w:ascii="Times New Roman" w:hAnsi="Times New Roman"/>
                <w:b/>
              </w:rPr>
              <w:t>ь</w:t>
            </w:r>
            <w:r w:rsidRPr="00D30C2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</w:t>
            </w:r>
            <w:r w:rsidR="00FC3C26" w:rsidRPr="00D30C2E">
              <w:rPr>
                <w:rFonts w:ascii="Times New Roman" w:hAnsi="Times New Roman"/>
                <w:b/>
              </w:rPr>
              <w:t>н</w:t>
            </w:r>
            <w:r w:rsidR="00FC3C26" w:rsidRPr="00D30C2E">
              <w:rPr>
                <w:rFonts w:ascii="Times New Roman" w:hAnsi="Times New Roman"/>
                <w:b/>
              </w:rPr>
              <w:t>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дуслуги»</w:t>
            </w:r>
            <w:r w:rsidR="00CA1CEE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лучения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Срок хранения невостр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бованных заявителем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зультатов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A52955" w:rsidRPr="00A52955">
              <w:rPr>
                <w:rFonts w:ascii="Times New Roman" w:hAnsi="Times New Roman"/>
                <w:b/>
                <w:vertAlign w:val="superscript"/>
              </w:rPr>
              <w:footnoteReference w:id="10"/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мельного кодекса РФ возможности досрочного прекращения действия разрешения со дня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земельного 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заявителю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AE5785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A52955" w:rsidRDefault="00A52955" w:rsidP="00A5295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CA1CEE" w:rsidRPr="00AE5785" w:rsidTr="00CA1CEE">
        <w:tc>
          <w:tcPr>
            <w:tcW w:w="527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24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306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73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димые для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415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DE14E1">
        <w:tc>
          <w:tcPr>
            <w:tcW w:w="14786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5179A4">
              <w:rPr>
                <w:rFonts w:ascii="Times New Roman" w:hAnsi="Times New Roman"/>
                <w:b/>
              </w:rPr>
              <w:t>м</w:t>
            </w:r>
            <w:r w:rsidRPr="005179A4">
              <w:rPr>
                <w:rFonts w:ascii="Times New Roman" w:hAnsi="Times New Roman"/>
                <w:b/>
              </w:rPr>
              <w:t>лях или земельныхучастках, находящихся в государственной или муниципальной собственности, без предоставления земельных участков и у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тановления сервитутов» (далее – Объекты) на срок не более одного календарного года.</w:t>
            </w:r>
            <w:r w:rsidR="00CA1CEE" w:rsidRPr="00A52955">
              <w:rPr>
                <w:rFonts w:ascii="Times New Roman" w:hAnsi="Times New Roman"/>
                <w:b/>
              </w:rPr>
              <w:t>.</w:t>
            </w:r>
            <w:r w:rsidR="00CA1CEE" w:rsidRPr="00A52955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либо решения об 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lastRenderedPageBreak/>
              <w:t>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lastRenderedPageBreak/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24 календарных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вующих документов заявителю.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муниципальной услуги направляются с прил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жением соответствующих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AE57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CA1CEE" w:rsidRDefault="00CA1CEE" w:rsidP="00CA1C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35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дарственной пошл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ны за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ние «подуслуги» и уплаты иных плат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жей, взимаемых в соответствии с зак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нодательством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1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DE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DE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DE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DE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  <w:r w:rsidR="00983D88" w:rsidRPr="00983D88"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 Едином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тале государственных и муниципальных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напортала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AE5785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AE5785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95" w:rsidRDefault="00540195" w:rsidP="00F847AF">
      <w:pPr>
        <w:spacing w:after="0" w:line="240" w:lineRule="auto"/>
      </w:pPr>
      <w:r>
        <w:separator/>
      </w:r>
    </w:p>
  </w:endnote>
  <w:endnote w:type="continuationSeparator" w:id="1">
    <w:p w:rsidR="00540195" w:rsidRDefault="0054019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95" w:rsidRDefault="00540195" w:rsidP="00F847AF">
      <w:pPr>
        <w:spacing w:after="0" w:line="240" w:lineRule="auto"/>
      </w:pPr>
      <w:r>
        <w:separator/>
      </w:r>
    </w:p>
  </w:footnote>
  <w:footnote w:type="continuationSeparator" w:id="1">
    <w:p w:rsidR="00540195" w:rsidRDefault="00540195" w:rsidP="00F847AF">
      <w:pPr>
        <w:spacing w:after="0" w:line="240" w:lineRule="auto"/>
      </w:pPr>
      <w:r>
        <w:continuationSeparator/>
      </w:r>
    </w:p>
  </w:footnote>
  <w:footnote w:id="2">
    <w:p w:rsidR="00DE14E1" w:rsidRPr="00E752C6" w:rsidRDefault="00DE14E1" w:rsidP="0061385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DE14E1" w:rsidRDefault="00DE14E1" w:rsidP="00613858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DE14E1" w:rsidRDefault="00DE14E1" w:rsidP="00613858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DE14E1" w:rsidRDefault="00DE14E1">
      <w:pPr>
        <w:pStyle w:val="af"/>
      </w:pPr>
      <w:r>
        <w:rPr>
          <w:rStyle w:val="af1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6">
    <w:p w:rsidR="00DE14E1" w:rsidRPr="005257FF" w:rsidRDefault="00DE14E1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7">
    <w:p w:rsidR="00DE14E1" w:rsidRDefault="00DE14E1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DE14E1" w:rsidRDefault="00DE14E1" w:rsidP="00A52955">
      <w:pPr>
        <w:pStyle w:val="af"/>
      </w:pPr>
      <w:r>
        <w:rPr>
          <w:rStyle w:val="af1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9">
    <w:p w:rsidR="00DE14E1" w:rsidRDefault="00DE14E1">
      <w:pPr>
        <w:pStyle w:val="af"/>
      </w:pPr>
      <w:r>
        <w:rPr>
          <w:rStyle w:val="af1"/>
        </w:rPr>
        <w:footnoteRef/>
      </w:r>
      <w:r>
        <w:t xml:space="preserve"> Ф</w:t>
      </w:r>
      <w:r w:rsidRPr="00731B15">
        <w:t xml:space="preserve">ормы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10">
    <w:p w:rsidR="00DE14E1" w:rsidRDefault="00DE14E1" w:rsidP="00A52955">
      <w:pPr>
        <w:pStyle w:val="af"/>
      </w:pPr>
      <w:r>
        <w:rPr>
          <w:rStyle w:val="af1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11">
    <w:p w:rsidR="00DE14E1" w:rsidRDefault="00DE14E1">
      <w:pPr>
        <w:pStyle w:val="af"/>
      </w:pPr>
      <w:r w:rsidRPr="00731B15">
        <w:rPr>
          <w:rStyle w:val="af1"/>
        </w:rPr>
        <w:footnoteRef/>
      </w:r>
      <w:r w:rsidRPr="00731B15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2">
    <w:p w:rsidR="00DE14E1" w:rsidRDefault="00DE14E1" w:rsidP="00A52955">
      <w:pPr>
        <w:pStyle w:val="af"/>
      </w:pPr>
      <w:r>
        <w:rPr>
          <w:rStyle w:val="af1"/>
        </w:rPr>
        <w:footnoteRef/>
      </w:r>
      <w:r w:rsidRPr="00CA1CEE">
        <w:t>Технологические процессы предоставления «подуслуги» равнозначны для обеих «подуслуг».</w:t>
      </w:r>
    </w:p>
  </w:footnote>
  <w:footnote w:id="13">
    <w:p w:rsidR="00DE14E1" w:rsidRPr="00D04EE1" w:rsidRDefault="00DE14E1" w:rsidP="00983D88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4CDF"/>
    <w:rsid w:val="0002097F"/>
    <w:rsid w:val="0002409F"/>
    <w:rsid w:val="000302FB"/>
    <w:rsid w:val="00031F8B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E5D34"/>
    <w:rsid w:val="004F1292"/>
    <w:rsid w:val="004F1731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0195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0266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1FC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14E1"/>
    <w:rsid w:val="00DE6534"/>
    <w:rsid w:val="00DF01EC"/>
    <w:rsid w:val="00DF3ED9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8768A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9EF0-4D02-4CE2-B0A8-231EBF72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8</cp:revision>
  <dcterms:created xsi:type="dcterms:W3CDTF">2016-11-07T11:28:00Z</dcterms:created>
  <dcterms:modified xsi:type="dcterms:W3CDTF">2016-12-09T12:09:00Z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